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E17" w:rsidRPr="00814E17" w:rsidRDefault="00814E17" w:rsidP="00814E17">
      <w:pPr>
        <w:rPr>
          <w:color w:val="1F497D"/>
          <w:sz w:val="28"/>
          <w:szCs w:val="28"/>
        </w:rPr>
      </w:pPr>
      <w:r>
        <w:rPr>
          <w:color w:val="1F497D"/>
        </w:rPr>
        <w:t>   </w:t>
      </w:r>
      <w:r>
        <w:rPr>
          <w:color w:val="1F497D"/>
        </w:rPr>
        <w:tab/>
      </w:r>
      <w:r>
        <w:rPr>
          <w:color w:val="1F497D"/>
        </w:rPr>
        <w:tab/>
      </w:r>
      <w:r w:rsidRPr="00814E17">
        <w:rPr>
          <w:color w:val="1F497D"/>
          <w:sz w:val="28"/>
          <w:szCs w:val="28"/>
        </w:rPr>
        <w:tab/>
      </w:r>
      <w:r w:rsidRPr="00814E17">
        <w:rPr>
          <w:color w:val="1F497D"/>
          <w:sz w:val="28"/>
          <w:szCs w:val="28"/>
        </w:rPr>
        <w:t> </w:t>
      </w:r>
      <w:r w:rsidRPr="00814E17">
        <w:rPr>
          <w:color w:val="1F497D"/>
          <w:sz w:val="28"/>
          <w:szCs w:val="28"/>
        </w:rPr>
        <w:t>Semester 2 201</w:t>
      </w:r>
      <w:bookmarkStart w:id="0" w:name="_GoBack"/>
      <w:bookmarkEnd w:id="0"/>
      <w:r w:rsidRPr="00814E17">
        <w:rPr>
          <w:color w:val="1F497D"/>
          <w:sz w:val="28"/>
          <w:szCs w:val="28"/>
        </w:rPr>
        <w:t>1 Teacher Training dates.</w:t>
      </w:r>
      <w:r w:rsidRPr="00814E17">
        <w:rPr>
          <w:color w:val="1F497D"/>
          <w:sz w:val="28"/>
          <w:szCs w:val="28"/>
        </w:rPr>
        <w:t>        </w:t>
      </w:r>
    </w:p>
    <w:p w:rsidR="00814E17" w:rsidRDefault="00814E17" w:rsidP="00814E17">
      <w:r>
        <w:rPr>
          <w:color w:val="1F497D"/>
        </w:rPr>
        <w:t xml:space="preserve">                    </w:t>
      </w: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605"/>
      </w:tblGrid>
      <w:tr w:rsidR="00814E17" w:rsidTr="00814E17">
        <w:tc>
          <w:tcPr>
            <w:tcW w:w="563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rPr>
                <w:b/>
                <w:bCs/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Primary Industries Orientation</w:t>
            </w:r>
          </w:p>
        </w:tc>
        <w:tc>
          <w:tcPr>
            <w:tcW w:w="3605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jc w:val="center"/>
              <w:rPr>
                <w:b/>
                <w:bCs/>
                <w:color w:val="365F91"/>
                <w:sz w:val="20"/>
                <w:szCs w:val="20"/>
              </w:rPr>
            </w:pPr>
            <w:r>
              <w:rPr>
                <w:b/>
                <w:bCs/>
                <w:color w:val="365F91"/>
                <w:sz w:val="20"/>
                <w:szCs w:val="20"/>
              </w:rPr>
              <w:t>15</w:t>
            </w:r>
            <w:r>
              <w:rPr>
                <w:b/>
                <w:bCs/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color w:val="365F91"/>
                <w:sz w:val="20"/>
                <w:szCs w:val="20"/>
              </w:rPr>
              <w:t>-16</w:t>
            </w:r>
            <w:r>
              <w:rPr>
                <w:b/>
                <w:bCs/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color w:val="365F91"/>
                <w:sz w:val="20"/>
                <w:szCs w:val="20"/>
              </w:rPr>
              <w:t xml:space="preserve"> August 2011</w:t>
            </w:r>
          </w:p>
        </w:tc>
      </w:tr>
      <w:tr w:rsidR="00814E17" w:rsidTr="00814E17">
        <w:tc>
          <w:tcPr>
            <w:tcW w:w="5637" w:type="dxa"/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rPr>
                <w:b/>
                <w:bCs/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Business Services Orientation</w:t>
            </w:r>
          </w:p>
        </w:tc>
        <w:tc>
          <w:tcPr>
            <w:tcW w:w="3605" w:type="dxa"/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jc w:val="center"/>
              <w:rPr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15</w:t>
            </w:r>
            <w:r>
              <w:rPr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color w:val="365F91"/>
                <w:sz w:val="20"/>
                <w:szCs w:val="20"/>
              </w:rPr>
              <w:t>-16</w:t>
            </w:r>
            <w:r>
              <w:rPr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color w:val="365F91"/>
                <w:sz w:val="20"/>
                <w:szCs w:val="20"/>
              </w:rPr>
              <w:t xml:space="preserve"> August 2011</w:t>
            </w:r>
          </w:p>
        </w:tc>
      </w:tr>
      <w:tr w:rsidR="00814E17" w:rsidTr="00814E17"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rPr>
                <w:b/>
                <w:bCs/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First Aid- Entertainment and Primary Industry</w:t>
            </w:r>
          </w:p>
        </w:tc>
        <w:tc>
          <w:tcPr>
            <w:tcW w:w="3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jc w:val="center"/>
              <w:rPr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17</w:t>
            </w:r>
            <w:r>
              <w:rPr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color w:val="365F91"/>
                <w:sz w:val="20"/>
                <w:szCs w:val="20"/>
              </w:rPr>
              <w:t xml:space="preserve"> August 2011</w:t>
            </w:r>
          </w:p>
        </w:tc>
      </w:tr>
      <w:tr w:rsidR="00814E17" w:rsidTr="00814E17">
        <w:tc>
          <w:tcPr>
            <w:tcW w:w="5637" w:type="dxa"/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rPr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Construction Skills Assessment</w:t>
            </w:r>
          </w:p>
        </w:tc>
        <w:tc>
          <w:tcPr>
            <w:tcW w:w="3605" w:type="dxa"/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jc w:val="center"/>
              <w:rPr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16</w:t>
            </w:r>
            <w:r>
              <w:rPr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color w:val="365F91"/>
                <w:sz w:val="20"/>
                <w:szCs w:val="20"/>
              </w:rPr>
              <w:t xml:space="preserve"> August 2011</w:t>
            </w:r>
          </w:p>
        </w:tc>
      </w:tr>
      <w:tr w:rsidR="00814E17" w:rsidTr="00814E17"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rPr>
                <w:b/>
                <w:bCs/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OH&amp;S- Construction</w:t>
            </w:r>
          </w:p>
        </w:tc>
        <w:tc>
          <w:tcPr>
            <w:tcW w:w="3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jc w:val="center"/>
              <w:rPr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17</w:t>
            </w:r>
            <w:r>
              <w:rPr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color w:val="365F91"/>
                <w:sz w:val="20"/>
                <w:szCs w:val="20"/>
              </w:rPr>
              <w:t xml:space="preserve"> August 2011</w:t>
            </w:r>
          </w:p>
        </w:tc>
      </w:tr>
      <w:tr w:rsidR="00814E17" w:rsidTr="00814E17">
        <w:tc>
          <w:tcPr>
            <w:tcW w:w="5637" w:type="dxa"/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rPr>
                <w:b/>
                <w:bCs/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Business Services Assessment (TAFE)</w:t>
            </w:r>
          </w:p>
        </w:tc>
        <w:tc>
          <w:tcPr>
            <w:tcW w:w="3605" w:type="dxa"/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jc w:val="center"/>
              <w:rPr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17</w:t>
            </w:r>
            <w:r>
              <w:rPr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color w:val="365F91"/>
                <w:sz w:val="20"/>
                <w:szCs w:val="20"/>
              </w:rPr>
              <w:t xml:space="preserve"> August 2011</w:t>
            </w:r>
          </w:p>
        </w:tc>
      </w:tr>
      <w:tr w:rsidR="00814E17" w:rsidTr="00814E17"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rPr>
                <w:b/>
                <w:bCs/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Construction Orientation</w:t>
            </w:r>
          </w:p>
        </w:tc>
        <w:tc>
          <w:tcPr>
            <w:tcW w:w="3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jc w:val="center"/>
              <w:rPr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18</w:t>
            </w:r>
            <w:r>
              <w:rPr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color w:val="365F91"/>
                <w:sz w:val="20"/>
                <w:szCs w:val="20"/>
              </w:rPr>
              <w:t>-19</w:t>
            </w:r>
            <w:r>
              <w:rPr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color w:val="365F91"/>
                <w:sz w:val="20"/>
                <w:szCs w:val="20"/>
              </w:rPr>
              <w:t xml:space="preserve"> August 2011</w:t>
            </w:r>
          </w:p>
        </w:tc>
      </w:tr>
      <w:tr w:rsidR="00814E17" w:rsidTr="00814E17">
        <w:tc>
          <w:tcPr>
            <w:tcW w:w="5637" w:type="dxa"/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rPr>
                <w:b/>
                <w:bCs/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Entertainment Orientation</w:t>
            </w:r>
          </w:p>
        </w:tc>
        <w:tc>
          <w:tcPr>
            <w:tcW w:w="3605" w:type="dxa"/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jc w:val="center"/>
              <w:rPr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18</w:t>
            </w:r>
            <w:r>
              <w:rPr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color w:val="365F91"/>
                <w:sz w:val="20"/>
                <w:szCs w:val="20"/>
              </w:rPr>
              <w:t>-19</w:t>
            </w:r>
            <w:r>
              <w:rPr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color w:val="365F91"/>
                <w:sz w:val="20"/>
                <w:szCs w:val="20"/>
              </w:rPr>
              <w:t xml:space="preserve"> August 2011</w:t>
            </w:r>
          </w:p>
        </w:tc>
      </w:tr>
      <w:tr w:rsidR="00814E17" w:rsidTr="00814E17"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rPr>
                <w:b/>
                <w:bCs/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BEC Orientation</w:t>
            </w:r>
          </w:p>
        </w:tc>
        <w:tc>
          <w:tcPr>
            <w:tcW w:w="3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jc w:val="center"/>
              <w:rPr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19</w:t>
            </w:r>
            <w:r>
              <w:rPr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color w:val="365F91"/>
                <w:sz w:val="20"/>
                <w:szCs w:val="20"/>
              </w:rPr>
              <w:t xml:space="preserve"> August 2011</w:t>
            </w:r>
          </w:p>
        </w:tc>
      </w:tr>
      <w:tr w:rsidR="00814E17" w:rsidTr="00814E17">
        <w:tc>
          <w:tcPr>
            <w:tcW w:w="5637" w:type="dxa"/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rPr>
                <w:b/>
                <w:bCs/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Hospitality Orientation</w:t>
            </w:r>
          </w:p>
        </w:tc>
        <w:tc>
          <w:tcPr>
            <w:tcW w:w="3605" w:type="dxa"/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jc w:val="center"/>
              <w:rPr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22</w:t>
            </w:r>
            <w:r>
              <w:rPr>
                <w:color w:val="365F91"/>
                <w:sz w:val="20"/>
                <w:szCs w:val="20"/>
                <w:vertAlign w:val="superscript"/>
              </w:rPr>
              <w:t>nd</w:t>
            </w:r>
            <w:r>
              <w:rPr>
                <w:color w:val="365F91"/>
                <w:sz w:val="20"/>
                <w:szCs w:val="20"/>
              </w:rPr>
              <w:t>-23</w:t>
            </w:r>
            <w:r>
              <w:rPr>
                <w:color w:val="365F91"/>
                <w:sz w:val="20"/>
                <w:szCs w:val="20"/>
                <w:vertAlign w:val="superscript"/>
              </w:rPr>
              <w:t>rd</w:t>
            </w:r>
            <w:r>
              <w:rPr>
                <w:color w:val="365F91"/>
                <w:sz w:val="20"/>
                <w:szCs w:val="20"/>
              </w:rPr>
              <w:t xml:space="preserve"> August 2011</w:t>
            </w:r>
          </w:p>
        </w:tc>
      </w:tr>
      <w:tr w:rsidR="00814E17" w:rsidTr="00814E17"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rPr>
                <w:b/>
                <w:bCs/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Information Technology</w:t>
            </w:r>
          </w:p>
        </w:tc>
        <w:tc>
          <w:tcPr>
            <w:tcW w:w="3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jc w:val="center"/>
              <w:rPr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22</w:t>
            </w:r>
            <w:r>
              <w:rPr>
                <w:color w:val="365F91"/>
                <w:sz w:val="20"/>
                <w:szCs w:val="20"/>
                <w:vertAlign w:val="superscript"/>
              </w:rPr>
              <w:t>nd</w:t>
            </w:r>
            <w:r>
              <w:rPr>
                <w:color w:val="365F91"/>
                <w:sz w:val="20"/>
                <w:szCs w:val="20"/>
              </w:rPr>
              <w:t>-23</w:t>
            </w:r>
            <w:r>
              <w:rPr>
                <w:color w:val="365F91"/>
                <w:sz w:val="20"/>
                <w:szCs w:val="20"/>
                <w:vertAlign w:val="superscript"/>
              </w:rPr>
              <w:t>rd</w:t>
            </w:r>
            <w:r>
              <w:rPr>
                <w:color w:val="365F91"/>
                <w:sz w:val="20"/>
                <w:szCs w:val="20"/>
              </w:rPr>
              <w:t xml:space="preserve"> August 2011</w:t>
            </w:r>
          </w:p>
        </w:tc>
      </w:tr>
      <w:tr w:rsidR="00814E17" w:rsidTr="00814E17">
        <w:tc>
          <w:tcPr>
            <w:tcW w:w="5637" w:type="dxa"/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rPr>
                <w:b/>
                <w:bCs/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Retail Services Orientation</w:t>
            </w:r>
          </w:p>
        </w:tc>
        <w:tc>
          <w:tcPr>
            <w:tcW w:w="3605" w:type="dxa"/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jc w:val="center"/>
              <w:rPr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25</w:t>
            </w:r>
            <w:r>
              <w:rPr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color w:val="365F91"/>
                <w:sz w:val="20"/>
                <w:szCs w:val="20"/>
              </w:rPr>
              <w:t>-26</w:t>
            </w:r>
            <w:r>
              <w:rPr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color w:val="365F91"/>
                <w:sz w:val="20"/>
                <w:szCs w:val="20"/>
              </w:rPr>
              <w:t xml:space="preserve"> August 2011</w:t>
            </w:r>
          </w:p>
        </w:tc>
      </w:tr>
      <w:tr w:rsidR="00814E17" w:rsidTr="00814E17">
        <w:tc>
          <w:tcPr>
            <w:tcW w:w="5637" w:type="dxa"/>
            <w:tcBorders>
              <w:top w:val="nil"/>
              <w:left w:val="nil"/>
              <w:bottom w:val="single" w:sz="8" w:space="0" w:color="4F81B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rPr>
                <w:b/>
                <w:bCs/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Metal &amp; Engineering Orientation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8" w:space="0" w:color="4F81B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4E17" w:rsidRDefault="00814E17">
            <w:pPr>
              <w:spacing w:line="480" w:lineRule="auto"/>
              <w:jc w:val="center"/>
              <w:rPr>
                <w:color w:val="365F91"/>
                <w:sz w:val="20"/>
                <w:szCs w:val="20"/>
              </w:rPr>
            </w:pPr>
            <w:r>
              <w:rPr>
                <w:color w:val="365F91"/>
                <w:sz w:val="20"/>
                <w:szCs w:val="20"/>
              </w:rPr>
              <w:t>25</w:t>
            </w:r>
            <w:r>
              <w:rPr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color w:val="365F91"/>
                <w:sz w:val="20"/>
                <w:szCs w:val="20"/>
              </w:rPr>
              <w:t>-26</w:t>
            </w:r>
            <w:r>
              <w:rPr>
                <w:color w:val="365F91"/>
                <w:sz w:val="20"/>
                <w:szCs w:val="20"/>
                <w:vertAlign w:val="superscript"/>
              </w:rPr>
              <w:t>th</w:t>
            </w:r>
            <w:r>
              <w:rPr>
                <w:color w:val="365F91"/>
                <w:sz w:val="20"/>
                <w:szCs w:val="20"/>
              </w:rPr>
              <w:t xml:space="preserve"> August 2011</w:t>
            </w:r>
          </w:p>
        </w:tc>
      </w:tr>
    </w:tbl>
    <w:p w:rsidR="00814E17" w:rsidRDefault="00814E17" w:rsidP="00814E17"/>
    <w:p w:rsidR="00814E17" w:rsidRDefault="00814E17" w:rsidP="00814E17"/>
    <w:p w:rsidR="00814E17" w:rsidRDefault="00814E17" w:rsidP="00814E17">
      <w:pPr>
        <w:jc w:val="center"/>
        <w:rPr>
          <w:b/>
          <w:bCs/>
          <w:color w:val="005ABC"/>
        </w:rPr>
      </w:pPr>
    </w:p>
    <w:p w:rsidR="00814E17" w:rsidRDefault="00814E17" w:rsidP="00814E17"/>
    <w:p w:rsidR="00814E17" w:rsidRDefault="00814E17" w:rsidP="00814E17">
      <w:pPr>
        <w:spacing w:before="100" w:beforeAutospacing="1" w:after="100" w:afterAutospacing="1"/>
        <w:rPr>
          <w:rFonts w:ascii="Lucida Calligraphy" w:hAnsi="Lucida Calligraphy"/>
          <w:b/>
          <w:bCs/>
          <w:color w:val="4CA2DC"/>
        </w:rPr>
      </w:pPr>
    </w:p>
    <w:p w:rsidR="00814E17" w:rsidRDefault="00814E17" w:rsidP="00814E17">
      <w:pPr>
        <w:spacing w:before="100" w:beforeAutospacing="1" w:after="100" w:afterAutospacing="1"/>
        <w:rPr>
          <w:rFonts w:ascii="Lucida Calligraphy" w:hAnsi="Lucida Calligraphy"/>
          <w:b/>
          <w:bCs/>
          <w:color w:val="4CA2DC"/>
        </w:rPr>
      </w:pPr>
    </w:p>
    <w:p w:rsidR="00814E17" w:rsidRDefault="00814E17" w:rsidP="00814E17">
      <w:pPr>
        <w:spacing w:before="100" w:beforeAutospacing="1" w:after="100" w:afterAutospacing="1"/>
        <w:rPr>
          <w:rFonts w:ascii="Lucida Calligraphy" w:hAnsi="Lucida Calligraphy"/>
          <w:b/>
          <w:bCs/>
          <w:color w:val="4CA2DC"/>
        </w:rPr>
      </w:pPr>
    </w:p>
    <w:p w:rsidR="00814E17" w:rsidRDefault="00814E17" w:rsidP="00814E17">
      <w:pPr>
        <w:spacing w:before="100" w:beforeAutospacing="1" w:after="100" w:afterAutospacing="1"/>
        <w:rPr>
          <w:rFonts w:ascii="Lucida Calligraphy" w:hAnsi="Lucida Calligraphy"/>
          <w:b/>
          <w:bCs/>
          <w:color w:val="4CA2DC"/>
        </w:rPr>
      </w:pPr>
    </w:p>
    <w:p w:rsidR="00814E17" w:rsidRDefault="00814E17" w:rsidP="00814E17">
      <w:pPr>
        <w:spacing w:before="100" w:beforeAutospacing="1" w:after="100" w:afterAutospacing="1"/>
        <w:rPr>
          <w:rFonts w:ascii="Lucida Calligraphy" w:hAnsi="Lucida Calligraphy"/>
          <w:b/>
          <w:bCs/>
          <w:color w:val="4CA2DC"/>
        </w:rPr>
      </w:pPr>
    </w:p>
    <w:p w:rsidR="00814E17" w:rsidRDefault="00814E17" w:rsidP="00814E17">
      <w:pPr>
        <w:spacing w:before="100" w:beforeAutospacing="1" w:after="100" w:afterAutospacing="1"/>
        <w:rPr>
          <w:rFonts w:ascii="Lucida Calligraphy" w:hAnsi="Lucida Calligraphy"/>
          <w:b/>
          <w:bCs/>
          <w:color w:val="4CA2DC"/>
        </w:rPr>
      </w:pPr>
    </w:p>
    <w:p w:rsidR="00814E17" w:rsidRDefault="00814E17" w:rsidP="00814E17">
      <w:pPr>
        <w:spacing w:before="100" w:beforeAutospacing="1" w:after="100" w:afterAutospacing="1"/>
        <w:rPr>
          <w:rFonts w:ascii="Lucida Calligraphy" w:hAnsi="Lucida Calligraphy"/>
          <w:b/>
          <w:bCs/>
          <w:color w:val="4CA2DC"/>
        </w:rPr>
      </w:pPr>
    </w:p>
    <w:p w:rsidR="00814E17" w:rsidRDefault="00814E17" w:rsidP="00814E17"/>
    <w:p w:rsidR="00876852" w:rsidRDefault="00814E17"/>
    <w:sectPr w:rsidR="008768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E17"/>
    <w:rsid w:val="00045452"/>
    <w:rsid w:val="000E5EBD"/>
    <w:rsid w:val="0081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E17"/>
    <w:pPr>
      <w:spacing w:after="0" w:line="240" w:lineRule="auto"/>
    </w:pPr>
    <w:rPr>
      <w:rFonts w:ascii="Calibri" w:hAnsi="Calibri" w:cs="Calibri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E17"/>
    <w:pPr>
      <w:spacing w:after="0" w:line="240" w:lineRule="auto"/>
    </w:pPr>
    <w:rPr>
      <w:rFonts w:ascii="Calibri" w:hAnsi="Calibri" w:cs="Calibri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</dc:creator>
  <cp:lastModifiedBy>build</cp:lastModifiedBy>
  <cp:revision>1</cp:revision>
  <dcterms:created xsi:type="dcterms:W3CDTF">2011-07-19T00:42:00Z</dcterms:created>
  <dcterms:modified xsi:type="dcterms:W3CDTF">2011-07-19T00:43:00Z</dcterms:modified>
</cp:coreProperties>
</file>